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245" w:type="dxa"/>
        </w:tblCellMar>
        <w:tblLook w:val="04A0" w:firstRow="1" w:lastRow="0" w:firstColumn="1" w:lastColumn="0" w:noHBand="0" w:noVBand="1"/>
      </w:tblPr>
      <w:tblGrid>
        <w:gridCol w:w="2361"/>
        <w:gridCol w:w="5466"/>
        <w:gridCol w:w="1229"/>
      </w:tblGrid>
      <w:tr w:rsidR="006026FD" w:rsidRPr="006026FD" w14:paraId="3080BE73" w14:textId="77777777">
        <w:trPr>
          <w:tblCellSpacing w:w="0" w:type="dxa"/>
        </w:trPr>
        <w:tc>
          <w:tcPr>
            <w:tcW w:w="2205" w:type="dxa"/>
            <w:tcMar>
              <w:top w:w="15" w:type="dxa"/>
              <w:left w:w="15" w:type="dxa"/>
              <w:bottom w:w="15" w:type="dxa"/>
              <w:right w:w="15" w:type="dxa"/>
            </w:tcMar>
            <w:vAlign w:val="center"/>
            <w:hideMark/>
          </w:tcPr>
          <w:p w14:paraId="5309D51D"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bookmarkStart w:id="0" w:name="_GoBack"/>
            <w:bookmarkEnd w:id="0"/>
            <w:r w:rsidRPr="006026FD">
              <w:rPr>
                <w:rFonts w:ascii="Verdana" w:eastAsia="Times New Roman" w:hAnsi="Verdana" w:cs="Times New Roman"/>
                <w:sz w:val="20"/>
                <w:szCs w:val="20"/>
                <w:lang w:eastAsia="en-GB"/>
              </w:rPr>
              <w:t xml:space="preserve">  </w:t>
            </w:r>
            <w:r w:rsidRPr="006026FD">
              <w:rPr>
                <w:rFonts w:ascii="Verdana" w:eastAsia="Times New Roman" w:hAnsi="Verdana" w:cs="Times New Roman"/>
                <w:noProof/>
                <w:sz w:val="20"/>
                <w:szCs w:val="20"/>
                <w:lang w:eastAsia="en-GB"/>
              </w:rPr>
              <w:drawing>
                <wp:inline distT="0" distB="0" distL="0" distR="0" wp14:anchorId="1574699A" wp14:editId="2E04012D">
                  <wp:extent cx="1381125" cy="895350"/>
                  <wp:effectExtent l="0" t="0" r="9525" b="0"/>
                  <wp:docPr id="1" name="Picture 1" descr="http://www.staffs.ac.uk/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s.ac.uk/imag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inline>
              </w:drawing>
            </w:r>
          </w:p>
        </w:tc>
        <w:tc>
          <w:tcPr>
            <w:tcW w:w="5000" w:type="pct"/>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5"/>
            </w:tblGrid>
            <w:tr w:rsidR="006026FD" w:rsidRPr="006026FD" w14:paraId="5EEA8E18" w14:textId="77777777">
              <w:trPr>
                <w:tblCellSpacing w:w="15" w:type="dxa"/>
              </w:trPr>
              <w:tc>
                <w:tcPr>
                  <w:tcW w:w="0" w:type="auto"/>
                  <w:vAlign w:val="center"/>
                  <w:hideMark/>
                </w:tcPr>
                <w:p w14:paraId="3B419B2B" w14:textId="77777777" w:rsidR="006026FD" w:rsidRPr="006026FD" w:rsidRDefault="006026FD" w:rsidP="006026FD">
                  <w:pPr>
                    <w:spacing w:before="100" w:beforeAutospacing="1" w:after="100" w:afterAutospacing="1" w:line="240" w:lineRule="auto"/>
                    <w:outlineLvl w:val="1"/>
                    <w:rPr>
                      <w:rFonts w:ascii="Verdana" w:eastAsia="Times New Roman" w:hAnsi="Verdana" w:cs="Times New Roman"/>
                      <w:b/>
                      <w:bCs/>
                      <w:sz w:val="36"/>
                      <w:szCs w:val="36"/>
                      <w:lang w:eastAsia="en-GB"/>
                    </w:rPr>
                  </w:pPr>
                  <w:r w:rsidRPr="006026FD">
                    <w:rPr>
                      <w:rFonts w:ascii="Verdana" w:eastAsia="Times New Roman" w:hAnsi="Verdana" w:cs="Times New Roman"/>
                      <w:b/>
                      <w:bCs/>
                      <w:sz w:val="36"/>
                      <w:szCs w:val="36"/>
                      <w:lang w:eastAsia="en-GB"/>
                    </w:rPr>
                    <w:t>  Module Descriptor</w:t>
                  </w:r>
                </w:p>
              </w:tc>
            </w:tr>
          </w:tbl>
          <w:p w14:paraId="675A27E0"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p>
        </w:tc>
        <w:tc>
          <w:tcPr>
            <w:tcW w:w="1500" w:type="dxa"/>
            <w:tcMar>
              <w:top w:w="15" w:type="dxa"/>
              <w:left w:w="15" w:type="dxa"/>
              <w:bottom w:w="15" w:type="dxa"/>
              <w:right w:w="15" w:type="dxa"/>
            </w:tcMar>
            <w:hideMark/>
          </w:tcPr>
          <w:p w14:paraId="08B8B191"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03/11/2017</w:t>
            </w:r>
          </w:p>
        </w:tc>
      </w:tr>
    </w:tbl>
    <w:p w14:paraId="56171326"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br/>
      </w: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1096"/>
        <w:gridCol w:w="2212"/>
        <w:gridCol w:w="1797"/>
        <w:gridCol w:w="253"/>
        <w:gridCol w:w="2246"/>
        <w:gridCol w:w="820"/>
        <w:gridCol w:w="929"/>
        <w:gridCol w:w="247"/>
      </w:tblGrid>
      <w:tr w:rsidR="006026FD" w:rsidRPr="006026FD" w14:paraId="6E852866" w14:textId="77777777">
        <w:trPr>
          <w:tblCellSpacing w:w="15" w:type="dxa"/>
        </w:trPr>
        <w:tc>
          <w:tcPr>
            <w:tcW w:w="1050" w:type="dxa"/>
            <w:vAlign w:val="center"/>
            <w:hideMark/>
          </w:tcPr>
          <w:p w14:paraId="4E467CAF"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 xml:space="preserve">Code: </w:t>
            </w:r>
          </w:p>
        </w:tc>
        <w:tc>
          <w:tcPr>
            <w:tcW w:w="0" w:type="auto"/>
            <w:vAlign w:val="center"/>
            <w:hideMark/>
          </w:tcPr>
          <w:p w14:paraId="012A244A"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PPDE70622</w:t>
            </w:r>
          </w:p>
        </w:tc>
        <w:tc>
          <w:tcPr>
            <w:tcW w:w="0" w:type="auto"/>
            <w:vAlign w:val="center"/>
            <w:hideMark/>
          </w:tcPr>
          <w:p w14:paraId="48BECEC6"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 xml:space="preserve">Version: </w:t>
            </w:r>
          </w:p>
        </w:tc>
        <w:tc>
          <w:tcPr>
            <w:tcW w:w="0" w:type="auto"/>
            <w:vAlign w:val="center"/>
            <w:hideMark/>
          </w:tcPr>
          <w:p w14:paraId="5B0F5BFE"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w:t>
            </w:r>
          </w:p>
        </w:tc>
        <w:tc>
          <w:tcPr>
            <w:tcW w:w="0" w:type="auto"/>
            <w:gridSpan w:val="2"/>
            <w:vAlign w:val="center"/>
            <w:hideMark/>
          </w:tcPr>
          <w:p w14:paraId="77491150"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 xml:space="preserve">Approval Status: </w:t>
            </w:r>
          </w:p>
        </w:tc>
        <w:tc>
          <w:tcPr>
            <w:tcW w:w="0" w:type="auto"/>
            <w:gridSpan w:val="2"/>
            <w:vAlign w:val="center"/>
            <w:hideMark/>
          </w:tcPr>
          <w:p w14:paraId="492A156F"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N/A</w:t>
            </w:r>
          </w:p>
        </w:tc>
      </w:tr>
      <w:tr w:rsidR="006026FD" w:rsidRPr="006026FD" w14:paraId="587A00ED" w14:textId="77777777">
        <w:trPr>
          <w:tblCellSpacing w:w="15" w:type="dxa"/>
        </w:trPr>
        <w:tc>
          <w:tcPr>
            <w:tcW w:w="1050" w:type="dxa"/>
            <w:vAlign w:val="center"/>
            <w:hideMark/>
          </w:tcPr>
          <w:p w14:paraId="056BD289"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 xml:space="preserve">Title: </w:t>
            </w:r>
          </w:p>
        </w:tc>
        <w:tc>
          <w:tcPr>
            <w:tcW w:w="0" w:type="auto"/>
            <w:gridSpan w:val="5"/>
            <w:vAlign w:val="center"/>
            <w:hideMark/>
          </w:tcPr>
          <w:p w14:paraId="14788074"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SEXUAL HEALTH ADVISING - WIDENING THE REMIT</w:t>
            </w:r>
          </w:p>
        </w:tc>
        <w:tc>
          <w:tcPr>
            <w:tcW w:w="0" w:type="auto"/>
            <w:vAlign w:val="center"/>
            <w:hideMark/>
          </w:tcPr>
          <w:p w14:paraId="6DE49BD5" w14:textId="77777777" w:rsidR="006026FD" w:rsidRPr="006026FD" w:rsidRDefault="006026FD" w:rsidP="006026FD">
            <w:pPr>
              <w:spacing w:before="336" w:after="0" w:line="240" w:lineRule="auto"/>
              <w:rPr>
                <w:rFonts w:ascii="Times New Roman" w:eastAsia="Times New Roman" w:hAnsi="Times New Roman" w:cs="Times New Roman"/>
                <w:sz w:val="20"/>
                <w:szCs w:val="20"/>
                <w:lang w:eastAsia="en-GB"/>
              </w:rPr>
            </w:pPr>
          </w:p>
        </w:tc>
        <w:tc>
          <w:tcPr>
            <w:tcW w:w="0" w:type="auto"/>
            <w:vAlign w:val="center"/>
            <w:hideMark/>
          </w:tcPr>
          <w:p w14:paraId="763B3555" w14:textId="77777777" w:rsidR="006026FD" w:rsidRPr="006026FD" w:rsidRDefault="006026FD" w:rsidP="006026FD">
            <w:pPr>
              <w:spacing w:before="336" w:after="0" w:line="240" w:lineRule="auto"/>
              <w:rPr>
                <w:rFonts w:ascii="Times New Roman" w:eastAsia="Times New Roman" w:hAnsi="Times New Roman" w:cs="Times New Roman"/>
                <w:sz w:val="20"/>
                <w:szCs w:val="20"/>
                <w:lang w:eastAsia="en-GB"/>
              </w:rPr>
            </w:pPr>
          </w:p>
        </w:tc>
      </w:tr>
      <w:tr w:rsidR="006026FD" w:rsidRPr="006026FD" w14:paraId="4842EB5C" w14:textId="77777777">
        <w:trPr>
          <w:tblCellSpacing w:w="15" w:type="dxa"/>
        </w:trPr>
        <w:tc>
          <w:tcPr>
            <w:tcW w:w="1050" w:type="dxa"/>
            <w:vAlign w:val="center"/>
            <w:hideMark/>
          </w:tcPr>
          <w:p w14:paraId="5B827876"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 xml:space="preserve">Section: </w:t>
            </w:r>
          </w:p>
        </w:tc>
        <w:tc>
          <w:tcPr>
            <w:tcW w:w="0" w:type="auto"/>
            <w:gridSpan w:val="3"/>
            <w:vAlign w:val="center"/>
            <w:hideMark/>
          </w:tcPr>
          <w:p w14:paraId="37542414"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School of Health and Social Care</w:t>
            </w:r>
          </w:p>
        </w:tc>
        <w:tc>
          <w:tcPr>
            <w:tcW w:w="0" w:type="auto"/>
            <w:vAlign w:val="center"/>
            <w:hideMark/>
          </w:tcPr>
          <w:p w14:paraId="31F8EB9B"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w:t>
            </w:r>
          </w:p>
        </w:tc>
        <w:tc>
          <w:tcPr>
            <w:tcW w:w="0" w:type="auto"/>
            <w:vAlign w:val="center"/>
            <w:hideMark/>
          </w:tcPr>
          <w:p w14:paraId="35737911"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p>
        </w:tc>
        <w:tc>
          <w:tcPr>
            <w:tcW w:w="0" w:type="auto"/>
            <w:vAlign w:val="center"/>
            <w:hideMark/>
          </w:tcPr>
          <w:p w14:paraId="29F86043"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 xml:space="preserve">Level: </w:t>
            </w:r>
          </w:p>
        </w:tc>
        <w:tc>
          <w:tcPr>
            <w:tcW w:w="0" w:type="auto"/>
            <w:vAlign w:val="center"/>
            <w:hideMark/>
          </w:tcPr>
          <w:p w14:paraId="3891B113"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7</w:t>
            </w:r>
          </w:p>
        </w:tc>
      </w:tr>
    </w:tbl>
    <w:p w14:paraId="4A4C10DF" w14:textId="77777777" w:rsidR="006026FD" w:rsidRPr="006026FD" w:rsidRDefault="006026FD" w:rsidP="006026FD">
      <w:pPr>
        <w:spacing w:after="0" w:line="240" w:lineRule="auto"/>
        <w:rPr>
          <w:rFonts w:ascii="Verdana" w:eastAsia="Times New Roman" w:hAnsi="Verdana" w:cs="Times New Roman"/>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2"/>
        <w:gridCol w:w="4833"/>
        <w:gridCol w:w="761"/>
      </w:tblGrid>
      <w:tr w:rsidR="006026FD" w:rsidRPr="006026FD" w14:paraId="1BAF29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01CCB"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7329"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B673"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VLE</w:t>
            </w:r>
          </w:p>
        </w:tc>
      </w:tr>
      <w:tr w:rsidR="006026FD" w:rsidRPr="006026FD" w14:paraId="3ECEC32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237CA"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Margaret Bannerman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30EE9" w14:textId="77777777" w:rsidR="006026FD" w:rsidRPr="006026FD" w:rsidRDefault="009D70E4" w:rsidP="006026FD">
            <w:pPr>
              <w:spacing w:before="336" w:after="0" w:line="240" w:lineRule="auto"/>
              <w:rPr>
                <w:rFonts w:ascii="Verdana" w:eastAsia="Times New Roman" w:hAnsi="Verdana" w:cs="Times New Roman"/>
                <w:sz w:val="20"/>
                <w:szCs w:val="20"/>
                <w:lang w:eastAsia="en-GB"/>
              </w:rPr>
            </w:pPr>
            <w:hyperlink r:id="rId5" w:history="1">
              <w:r w:rsidR="006026FD" w:rsidRPr="006026FD">
                <w:rPr>
                  <w:rFonts w:ascii="Verdana" w:eastAsia="Times New Roman" w:hAnsi="Verdana" w:cs="Times New Roman"/>
                  <w:color w:val="003377"/>
                  <w:sz w:val="20"/>
                  <w:szCs w:val="20"/>
                  <w:u w:val="single"/>
                  <w:lang w:eastAsia="en-GB"/>
                </w:rPr>
                <w:t>M.A.Bannerman@staffs.ac.uk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04FC1E8"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w:t>
            </w:r>
          </w:p>
        </w:tc>
      </w:tr>
    </w:tbl>
    <w:p w14:paraId="1D2103A3" w14:textId="77777777" w:rsidR="006026FD" w:rsidRPr="006026FD" w:rsidRDefault="006026FD" w:rsidP="006026FD">
      <w:pPr>
        <w:spacing w:after="0" w:line="240" w:lineRule="auto"/>
        <w:rPr>
          <w:rFonts w:ascii="Verdana" w:eastAsia="Times New Roman" w:hAnsi="Verdana" w:cs="Times New Roman"/>
          <w:vanish/>
          <w:sz w:val="20"/>
          <w:szCs w:val="20"/>
          <w:lang w:eastAsia="en-GB"/>
        </w:rPr>
      </w:pPr>
    </w:p>
    <w:tbl>
      <w:tblPr>
        <w:tblW w:w="5000" w:type="pct"/>
        <w:tblCellSpacing w:w="15" w:type="dxa"/>
        <w:tblCellMar>
          <w:left w:w="0" w:type="dxa"/>
          <w:right w:w="245" w:type="dxa"/>
        </w:tblCellMar>
        <w:tblLook w:val="04A0" w:firstRow="1" w:lastRow="0" w:firstColumn="1" w:lastColumn="0" w:noHBand="0" w:noVBand="1"/>
      </w:tblPr>
      <w:tblGrid>
        <w:gridCol w:w="946"/>
        <w:gridCol w:w="66"/>
        <w:gridCol w:w="4011"/>
        <w:gridCol w:w="66"/>
        <w:gridCol w:w="4027"/>
      </w:tblGrid>
      <w:tr w:rsidR="006026FD" w:rsidRPr="006026FD" w14:paraId="78355410" w14:textId="77777777">
        <w:trPr>
          <w:tblCellSpacing w:w="15" w:type="dxa"/>
        </w:trPr>
        <w:tc>
          <w:tcPr>
            <w:tcW w:w="5000" w:type="pct"/>
            <w:gridSpan w:val="5"/>
            <w:tcMar>
              <w:top w:w="15" w:type="dxa"/>
              <w:left w:w="15" w:type="dxa"/>
              <w:bottom w:w="15" w:type="dxa"/>
              <w:right w:w="15" w:type="dxa"/>
            </w:tcMar>
            <w:vAlign w:val="center"/>
            <w:hideMark/>
          </w:tcPr>
          <w:p w14:paraId="1695499A"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Pattern Of Delivery</w:t>
            </w:r>
          </w:p>
        </w:tc>
      </w:tr>
      <w:tr w:rsidR="006026FD" w:rsidRPr="006026FD" w14:paraId="730CBE4A" w14:textId="77777777">
        <w:trPr>
          <w:tblCellSpacing w:w="15" w:type="dxa"/>
        </w:trPr>
        <w:tc>
          <w:tcPr>
            <w:tcW w:w="0" w:type="auto"/>
            <w:tcMar>
              <w:top w:w="15" w:type="dxa"/>
              <w:left w:w="15" w:type="dxa"/>
              <w:bottom w:w="15" w:type="dxa"/>
              <w:right w:w="15"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tblGrid>
            <w:tr w:rsidR="006026FD" w:rsidRPr="006026FD" w14:paraId="21BB7A85" w14:textId="77777777">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14:paraId="30E6CFB7"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Credits</w:t>
                  </w:r>
                </w:p>
              </w:tc>
            </w:tr>
            <w:tr w:rsidR="006026FD" w:rsidRPr="006026FD" w14:paraId="3D2CF68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80E65" w14:textId="77777777" w:rsidR="006026FD" w:rsidRPr="006026FD" w:rsidRDefault="006026FD" w:rsidP="006026FD">
                  <w:pPr>
                    <w:spacing w:before="336" w:after="0" w:line="240" w:lineRule="auto"/>
                    <w:jc w:val="center"/>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30</w:t>
                  </w:r>
                </w:p>
              </w:tc>
            </w:tr>
          </w:tbl>
          <w:p w14:paraId="00F9AD73"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p>
        </w:tc>
        <w:tc>
          <w:tcPr>
            <w:tcW w:w="150" w:type="dxa"/>
            <w:tcMar>
              <w:top w:w="15" w:type="dxa"/>
              <w:left w:w="15" w:type="dxa"/>
              <w:bottom w:w="15" w:type="dxa"/>
              <w:right w:w="15" w:type="dxa"/>
            </w:tcMar>
            <w:hideMark/>
          </w:tcPr>
          <w:p w14:paraId="057FCE8D" w14:textId="77777777" w:rsidR="006026FD" w:rsidRPr="006026FD" w:rsidRDefault="006026FD" w:rsidP="006026FD">
            <w:pPr>
              <w:spacing w:before="336" w:after="0" w:line="240" w:lineRule="auto"/>
              <w:rPr>
                <w:rFonts w:ascii="Times New Roman" w:eastAsia="Times New Roman" w:hAnsi="Times New Roman" w:cs="Times New Roman"/>
                <w:sz w:val="20"/>
                <w:szCs w:val="20"/>
                <w:lang w:eastAsia="en-GB"/>
              </w:rPr>
            </w:pPr>
          </w:p>
        </w:tc>
        <w:tc>
          <w:tcPr>
            <w:tcW w:w="2500" w:type="pct"/>
            <w:tcMar>
              <w:top w:w="15" w:type="dxa"/>
              <w:left w:w="15" w:type="dxa"/>
              <w:bottom w:w="15" w:type="dxa"/>
              <w:right w:w="15"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1506"/>
              <w:gridCol w:w="1215"/>
            </w:tblGrid>
            <w:tr w:rsidR="006026FD" w:rsidRPr="006026FD" w14:paraId="0CF3E35F"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323AC6D"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Contact Hours</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A9A8F38"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Independent Study Hours</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6754C0F"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Total Learning Hours</w:t>
                  </w:r>
                </w:p>
              </w:tc>
            </w:tr>
            <w:tr w:rsidR="006026FD" w:rsidRPr="006026FD" w14:paraId="727A1A7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67A2C" w14:textId="77777777" w:rsidR="006026FD" w:rsidRPr="006026FD" w:rsidRDefault="006026FD" w:rsidP="006026FD">
                  <w:pPr>
                    <w:spacing w:before="336" w:after="0" w:line="240" w:lineRule="auto"/>
                    <w:jc w:val="center"/>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9A87A" w14:textId="77777777" w:rsidR="006026FD" w:rsidRPr="006026FD" w:rsidRDefault="006026FD" w:rsidP="006026FD">
                  <w:pPr>
                    <w:spacing w:before="336" w:after="0" w:line="240" w:lineRule="auto"/>
                    <w:jc w:val="center"/>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11688" w14:textId="77777777" w:rsidR="006026FD" w:rsidRPr="006026FD" w:rsidRDefault="006026FD" w:rsidP="006026FD">
                  <w:pPr>
                    <w:spacing w:before="336" w:after="0" w:line="240" w:lineRule="auto"/>
                    <w:jc w:val="center"/>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300</w:t>
                  </w:r>
                </w:p>
              </w:tc>
            </w:tr>
          </w:tbl>
          <w:p w14:paraId="51558CB6"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p>
        </w:tc>
        <w:tc>
          <w:tcPr>
            <w:tcW w:w="75" w:type="dxa"/>
            <w:tcMar>
              <w:top w:w="15" w:type="dxa"/>
              <w:left w:w="15" w:type="dxa"/>
              <w:bottom w:w="15" w:type="dxa"/>
              <w:right w:w="15" w:type="dxa"/>
            </w:tcMar>
            <w:hideMark/>
          </w:tcPr>
          <w:p w14:paraId="5A04015A" w14:textId="77777777" w:rsidR="006026FD" w:rsidRPr="006026FD" w:rsidRDefault="006026FD" w:rsidP="006026FD">
            <w:pPr>
              <w:spacing w:before="336" w:after="0" w:line="240" w:lineRule="auto"/>
              <w:rPr>
                <w:rFonts w:ascii="Times New Roman" w:eastAsia="Times New Roman" w:hAnsi="Times New Roman" w:cs="Times New Roman"/>
                <w:sz w:val="20"/>
                <w:szCs w:val="20"/>
                <w:lang w:eastAsia="en-GB"/>
              </w:rPr>
            </w:pPr>
          </w:p>
        </w:tc>
        <w:tc>
          <w:tcPr>
            <w:tcW w:w="2500" w:type="pct"/>
            <w:tcMar>
              <w:top w:w="15" w:type="dxa"/>
              <w:left w:w="15" w:type="dxa"/>
              <w:bottom w:w="15" w:type="dxa"/>
              <w:right w:w="15" w:type="dxa"/>
            </w:tcMar>
            <w:hideMark/>
          </w:tcPr>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6"/>
            </w:tblGrid>
            <w:tr w:rsidR="006026FD" w:rsidRPr="006026FD" w14:paraId="3C92095E" w14:textId="77777777">
              <w:trPr>
                <w:tblCellSpacing w:w="0" w:type="dxa"/>
                <w:jc w:val="right"/>
              </w:trPr>
              <w:tc>
                <w:tcPr>
                  <w:tcW w:w="5000" w:type="pct"/>
                  <w:tcBorders>
                    <w:top w:val="outset" w:sz="6" w:space="0" w:color="auto"/>
                    <w:left w:val="outset" w:sz="6" w:space="0" w:color="auto"/>
                    <w:bottom w:val="outset" w:sz="6" w:space="0" w:color="auto"/>
                    <w:right w:val="outset" w:sz="6" w:space="0" w:color="auto"/>
                  </w:tcBorders>
                  <w:vAlign w:val="center"/>
                  <w:hideMark/>
                </w:tcPr>
                <w:p w14:paraId="66B4AE5D"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Description of Pattern of Delivery</w:t>
                  </w:r>
                </w:p>
              </w:tc>
            </w:tr>
            <w:tr w:rsidR="006026FD" w:rsidRPr="006026FD" w14:paraId="0651274A" w14:textId="7777777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14:paraId="497E1DFC" w14:textId="77777777" w:rsidR="006026FD" w:rsidRPr="006026FD" w:rsidRDefault="006026FD" w:rsidP="006026FD">
                  <w:pPr>
                    <w:spacing w:before="336" w:after="0" w:line="240" w:lineRule="auto"/>
                    <w:jc w:val="center"/>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Occurrence A, Stafford Campus, PG Semester 2</w:t>
                  </w:r>
                </w:p>
              </w:tc>
            </w:tr>
          </w:tbl>
          <w:p w14:paraId="725CF415" w14:textId="77777777" w:rsidR="006026FD" w:rsidRPr="006026FD" w:rsidRDefault="006026FD" w:rsidP="006026FD">
            <w:pPr>
              <w:spacing w:before="336" w:after="0" w:line="240" w:lineRule="auto"/>
              <w:jc w:val="right"/>
              <w:rPr>
                <w:rFonts w:ascii="Verdana" w:eastAsia="Times New Roman" w:hAnsi="Verdana" w:cs="Times New Roman"/>
                <w:sz w:val="20"/>
                <w:szCs w:val="20"/>
                <w:lang w:eastAsia="en-GB"/>
              </w:rPr>
            </w:pPr>
          </w:p>
        </w:tc>
      </w:tr>
    </w:tbl>
    <w:p w14:paraId="4AED160B" w14:textId="77777777" w:rsidR="006026FD" w:rsidRPr="006026FD" w:rsidRDefault="006026FD" w:rsidP="006026FD">
      <w:pPr>
        <w:spacing w:after="0" w:line="240" w:lineRule="auto"/>
        <w:rPr>
          <w:rFonts w:ascii="Verdana" w:eastAsia="Times New Roman" w:hAnsi="Verdana" w:cs="Times New Roman"/>
          <w:vanish/>
          <w:sz w:val="20"/>
          <w:szCs w:val="20"/>
          <w:lang w:eastAsia="en-GB"/>
        </w:rPr>
      </w:pPr>
    </w:p>
    <w:tbl>
      <w:tblPr>
        <w:tblW w:w="18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tblGrid>
      <w:tr w:rsidR="006026FD" w:rsidRPr="006026FD" w14:paraId="5C0B9F4B" w14:textId="7777777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14:paraId="047372E6"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Site</w:t>
            </w:r>
          </w:p>
        </w:tc>
      </w:tr>
      <w:tr w:rsidR="006026FD" w:rsidRPr="006026FD" w14:paraId="049A232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AF3DC"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Stafford Campus</w:t>
            </w:r>
          </w:p>
        </w:tc>
      </w:tr>
    </w:tbl>
    <w:p w14:paraId="2844508A" w14:textId="77777777" w:rsidR="006026FD" w:rsidRPr="006026FD" w:rsidRDefault="006026FD" w:rsidP="006026FD">
      <w:pPr>
        <w:spacing w:after="0" w:line="240" w:lineRule="auto"/>
        <w:rPr>
          <w:rFonts w:ascii="Verdana" w:eastAsia="Times New Roman" w:hAnsi="Verdana" w:cs="Times New Roman"/>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0"/>
        <w:gridCol w:w="5126"/>
      </w:tblGrid>
      <w:tr w:rsidR="006026FD" w:rsidRPr="006026FD" w14:paraId="3D4DEB3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273C8"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Registration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09B98"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Module Version Condition Text</w:t>
            </w:r>
          </w:p>
        </w:tc>
      </w:tr>
      <w:tr w:rsidR="006026FD" w:rsidRPr="006026FD" w14:paraId="263B46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46986"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138C2"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w:t>
            </w:r>
          </w:p>
        </w:tc>
      </w:tr>
    </w:tbl>
    <w:p w14:paraId="4B14A4F5" w14:textId="77777777" w:rsidR="006026FD" w:rsidRPr="006026FD" w:rsidRDefault="006026FD" w:rsidP="006026FD">
      <w:pPr>
        <w:spacing w:after="0" w:line="240" w:lineRule="auto"/>
        <w:rPr>
          <w:rFonts w:ascii="Verdana" w:eastAsia="Times New Roman" w:hAnsi="Verdana" w:cs="Times New Roman"/>
          <w:vanish/>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2"/>
        <w:gridCol w:w="6994"/>
      </w:tblGrid>
      <w:tr w:rsidR="006026FD" w:rsidRPr="006026FD" w14:paraId="6701DFAB"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0939F8"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b/>
                <w:bCs/>
                <w:sz w:val="20"/>
                <w:szCs w:val="20"/>
                <w:lang w:eastAsia="en-GB"/>
              </w:rPr>
              <w:t>Module Details</w:t>
            </w:r>
          </w:p>
        </w:tc>
      </w:tr>
      <w:tr w:rsidR="006026FD" w:rsidRPr="006026FD" w14:paraId="7BCB891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E97A2"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TEXTS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C0D00"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xml:space="preserve">Pattman R, Sankar N, Elawad B, Handy P, Ashley Price D (Ed) (2010) Oxford Handbook of Genito-Urinary Medicine, HIV and Sexual Health (2nd Edition) Oxford Oxford Medical Publications </w:t>
            </w:r>
            <w:r w:rsidRPr="006026FD">
              <w:rPr>
                <w:rFonts w:ascii="Verdana" w:eastAsia="Times New Roman" w:hAnsi="Verdana" w:cs="Times New Roman"/>
                <w:sz w:val="20"/>
                <w:szCs w:val="20"/>
                <w:lang w:eastAsia="en-GB"/>
              </w:rPr>
              <w:br/>
              <w:t xml:space="preserve">Wakley G, Cunnion M, Chambers R (2003) Improving Sexual Health Advice. Radcliffe Medical Press, Abingdon. </w:t>
            </w:r>
            <w:r w:rsidRPr="006026FD">
              <w:rPr>
                <w:rFonts w:ascii="Verdana" w:eastAsia="Times New Roman" w:hAnsi="Verdana" w:cs="Times New Roman"/>
                <w:sz w:val="20"/>
                <w:szCs w:val="20"/>
                <w:lang w:eastAsia="en-GB"/>
              </w:rPr>
              <w:br/>
              <w:t xml:space="preserve">Wellings, K. Mitchell, K. Collumbien, M. (2011) Sexual Health: A Public Health Perspective (Understanding Public Health) Open </w:t>
            </w:r>
            <w:r w:rsidRPr="006026FD">
              <w:rPr>
                <w:rFonts w:ascii="Verdana" w:eastAsia="Times New Roman" w:hAnsi="Verdana" w:cs="Times New Roman"/>
                <w:sz w:val="20"/>
                <w:szCs w:val="20"/>
                <w:lang w:eastAsia="en-GB"/>
              </w:rPr>
              <w:lastRenderedPageBreak/>
              <w:t xml:space="preserve">University Press, Berkshire </w:t>
            </w:r>
          </w:p>
        </w:tc>
      </w:tr>
      <w:tr w:rsidR="006026FD" w:rsidRPr="006026FD" w14:paraId="3A53577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76497"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lastRenderedPageBreak/>
              <w:t>ADDITIONAL ASSESSMENT DETAILS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ACCE6"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xml:space="preserve">An ASSIGMT length 3500 WORDS weighted at 60%. A VIVA weighted at 0%. An EXAM weighted at 40%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Summative assessment - a written assignment demonstrating reflexivity (3500 words) </w:t>
            </w:r>
            <w:r w:rsidRPr="006026FD">
              <w:rPr>
                <w:rFonts w:ascii="Verdana" w:eastAsia="Times New Roman" w:hAnsi="Verdana" w:cs="Times New Roman"/>
                <w:sz w:val="20"/>
                <w:szCs w:val="20"/>
                <w:lang w:eastAsia="en-GB"/>
              </w:rPr>
              <w:br/>
              <w:t xml:space="preserve">The assignment must focus on one of the four Society of Sexual Health Advisers (SSHA) (SSHA 2013) Competency Framework Domains, demonstrating the achievement of one or more, of the competencies within that framework, utilising a Scenario from the student </w:t>
            </w:r>
            <w:r w:rsidRPr="006026FD">
              <w:rPr>
                <w:rFonts w:ascii="Verdana" w:eastAsia="Times New Roman" w:hAnsi="Verdana" w:cs="Verdana"/>
                <w:sz w:val="20"/>
                <w:szCs w:val="20"/>
                <w:lang w:eastAsia="en-GB"/>
              </w:rPr>
              <w:t></w:t>
            </w:r>
            <w:r w:rsidRPr="006026FD">
              <w:rPr>
                <w:rFonts w:ascii="Verdana" w:eastAsia="Times New Roman" w:hAnsi="Verdana" w:cs="Times New Roman"/>
                <w:sz w:val="20"/>
                <w:szCs w:val="20"/>
                <w:lang w:eastAsia="en-GB"/>
              </w:rPr>
              <w:t xml:space="preserve">s Reflective Journal (Contributes to meeting LO's 2 and 3) weighted at 60%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Multiple Choice Examination </w:t>
            </w:r>
            <w:r w:rsidRPr="006026FD">
              <w:rPr>
                <w:rFonts w:ascii="Verdana" w:eastAsia="Times New Roman" w:hAnsi="Verdana" w:cs="Times New Roman"/>
                <w:sz w:val="20"/>
                <w:szCs w:val="20"/>
                <w:lang w:eastAsia="en-GB"/>
              </w:rPr>
              <w:br/>
              <w:t xml:space="preserve">The student will sit a multiple choice examination of 25 questions in 30 minutes relating to sexually acquired infections. (Contributes to meeting LO 1) weighted at 40%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Viva Voce </w:t>
            </w:r>
            <w:r w:rsidRPr="006026FD">
              <w:rPr>
                <w:rFonts w:ascii="Verdana" w:eastAsia="Times New Roman" w:hAnsi="Verdana" w:cs="Times New Roman"/>
                <w:sz w:val="20"/>
                <w:szCs w:val="20"/>
                <w:lang w:eastAsia="en-GB"/>
              </w:rPr>
              <w:br/>
              <w:t xml:space="preserve">The students will be given a scenario involving an ethical dilemma on the third Study Day. They will then be immediately assessed on their understanding and practical application of the ethical dilemma via the viva voce. </w:t>
            </w:r>
            <w:r w:rsidRPr="006026FD">
              <w:rPr>
                <w:rFonts w:ascii="Verdana" w:eastAsia="Times New Roman" w:hAnsi="Verdana" w:cs="Times New Roman"/>
                <w:sz w:val="20"/>
                <w:szCs w:val="20"/>
                <w:lang w:eastAsia="en-GB"/>
              </w:rPr>
              <w:br/>
              <w:t xml:space="preserve">(Contributes to meeting LO 4) PASS / FAIL weighted at 0%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Formative Assessment </w:t>
            </w:r>
            <w:r w:rsidRPr="006026FD">
              <w:rPr>
                <w:rFonts w:ascii="Verdana" w:eastAsia="Times New Roman" w:hAnsi="Verdana" w:cs="Times New Roman"/>
                <w:sz w:val="20"/>
                <w:szCs w:val="20"/>
                <w:lang w:eastAsia="en-GB"/>
              </w:rPr>
              <w:br/>
              <w:t xml:space="preserve">20 minutes presentation to course leaders and peers </w:t>
            </w:r>
            <w:r w:rsidRPr="006026FD">
              <w:rPr>
                <w:rFonts w:ascii="Verdana" w:eastAsia="Times New Roman" w:hAnsi="Verdana" w:cs="Times New Roman"/>
                <w:sz w:val="20"/>
                <w:szCs w:val="20"/>
                <w:lang w:eastAsia="en-GB"/>
              </w:rPr>
              <w:br/>
              <w:t xml:space="preserve">A presentation of assignment subject with supporting written notes. The course leader will formally provide feedback on this presentation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All elements of summative assessment must be passed. </w:t>
            </w:r>
          </w:p>
        </w:tc>
      </w:tr>
      <w:tr w:rsidR="006026FD" w:rsidRPr="006026FD" w14:paraId="472C7B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E5342"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LEARNING STRATEGIES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CD037"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xml:space="preserve">Scheduled Learning and Teaching Activities: (24 hours) </w:t>
            </w:r>
            <w:r w:rsidRPr="006026FD">
              <w:rPr>
                <w:rFonts w:ascii="Verdana" w:eastAsia="Times New Roman" w:hAnsi="Verdana" w:cs="Times New Roman"/>
                <w:sz w:val="20"/>
                <w:szCs w:val="20"/>
                <w:lang w:eastAsia="en-GB"/>
              </w:rPr>
              <w:br/>
              <w:t xml:space="preserve">12 hours Active attendance at Seminars </w:t>
            </w:r>
            <w:r w:rsidRPr="006026FD">
              <w:rPr>
                <w:rFonts w:ascii="Verdana" w:eastAsia="Times New Roman" w:hAnsi="Verdana" w:cs="Times New Roman"/>
                <w:sz w:val="20"/>
                <w:szCs w:val="20"/>
                <w:lang w:eastAsia="en-GB"/>
              </w:rPr>
              <w:br/>
              <w:t xml:space="preserve">10 hours Active attendance at workshops </w:t>
            </w:r>
            <w:r w:rsidRPr="006026FD">
              <w:rPr>
                <w:rFonts w:ascii="Verdana" w:eastAsia="Times New Roman" w:hAnsi="Verdana" w:cs="Times New Roman"/>
                <w:sz w:val="20"/>
                <w:szCs w:val="20"/>
                <w:lang w:eastAsia="en-GB"/>
              </w:rPr>
              <w:br/>
              <w:t xml:space="preserve">2 hours Group Tutorials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Guided Independent Study: 276 hours) </w:t>
            </w:r>
            <w:r w:rsidRPr="006026FD">
              <w:rPr>
                <w:rFonts w:ascii="Verdana" w:eastAsia="Times New Roman" w:hAnsi="Verdana" w:cs="Times New Roman"/>
                <w:sz w:val="20"/>
                <w:szCs w:val="20"/>
                <w:lang w:eastAsia="en-GB"/>
              </w:rPr>
              <w:br/>
              <w:t xml:space="preserve">156 hours Work based projects </w:t>
            </w:r>
            <w:r w:rsidRPr="006026FD">
              <w:rPr>
                <w:rFonts w:ascii="Verdana" w:eastAsia="Times New Roman" w:hAnsi="Verdana" w:cs="Times New Roman"/>
                <w:sz w:val="20"/>
                <w:szCs w:val="20"/>
                <w:lang w:eastAsia="en-GB"/>
              </w:rPr>
              <w:br/>
              <w:t xml:space="preserve">81 Directed reading and interactive activities </w:t>
            </w:r>
            <w:r w:rsidRPr="006026FD">
              <w:rPr>
                <w:rFonts w:ascii="Verdana" w:eastAsia="Times New Roman" w:hAnsi="Verdana" w:cs="Times New Roman"/>
                <w:sz w:val="20"/>
                <w:szCs w:val="20"/>
                <w:lang w:eastAsia="en-GB"/>
              </w:rPr>
              <w:br/>
              <w:t xml:space="preserve">39 Preparation for the teaching sessions at seminars and workshops </w:t>
            </w:r>
          </w:p>
        </w:tc>
      </w:tr>
      <w:tr w:rsidR="006026FD" w:rsidRPr="006026FD" w14:paraId="1993D9D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DC20B"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INDICATIVE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9D3EC"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xml:space="preserve">This module will develop the student's knowledge and understanding of the theory and practise of sexual health advising. The indicative content will examine: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 Issues associated with sexual health advising practice including an epidemiological overview of sexually acquired infections including HIV, the diagnosis and management of sexually acquired infections and HIV.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 Historical background of the public health role of the sexual health advisor, incorporating the models and practice of partner </w:t>
            </w:r>
            <w:r w:rsidRPr="006026FD">
              <w:rPr>
                <w:rFonts w:ascii="Verdana" w:eastAsia="Times New Roman" w:hAnsi="Verdana" w:cs="Times New Roman"/>
                <w:sz w:val="20"/>
                <w:szCs w:val="20"/>
                <w:lang w:eastAsia="en-GB"/>
              </w:rPr>
              <w:lastRenderedPageBreak/>
              <w:t xml:space="preserve">notification and health promoting practice, including both community and hospital based practice. Examination of current and future development of the sexual health advisors role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 Legal and professional framework of sexual health advising, including historical development and examination of current legislation and professional and ethical guidelines affecting practice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 Communication models, development of skills and practice of such with the individual presenting to a sexual health advisor. Exploration of specific cultural and gender issues. Examination of personal values and judgements and impact upon practice. </w:t>
            </w:r>
          </w:p>
        </w:tc>
      </w:tr>
      <w:tr w:rsidR="006026FD" w:rsidRPr="006026FD" w14:paraId="6354AFB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96738"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lastRenderedPageBreak/>
              <w:t>RESOURCES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9C62E"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xml:space="preserve">Access will be available through the university to: </w:t>
            </w:r>
            <w:r w:rsidRPr="006026FD">
              <w:rPr>
                <w:rFonts w:ascii="Verdana" w:eastAsia="Times New Roman" w:hAnsi="Verdana" w:cs="Times New Roman"/>
                <w:sz w:val="20"/>
                <w:szCs w:val="20"/>
                <w:lang w:eastAsia="en-GB"/>
              </w:rPr>
              <w:br/>
              <w:t xml:space="preserve">Library and Information Services </w:t>
            </w:r>
            <w:r w:rsidRPr="006026FD">
              <w:rPr>
                <w:rFonts w:ascii="Verdana" w:eastAsia="Times New Roman" w:hAnsi="Verdana" w:cs="Times New Roman"/>
                <w:sz w:val="20"/>
                <w:szCs w:val="20"/>
                <w:lang w:eastAsia="en-GB"/>
              </w:rPr>
              <w:br/>
              <w:t xml:space="preserve">Internet </w:t>
            </w:r>
            <w:r w:rsidRPr="006026FD">
              <w:rPr>
                <w:rFonts w:ascii="Verdana" w:eastAsia="Times New Roman" w:hAnsi="Verdana" w:cs="Times New Roman"/>
                <w:sz w:val="20"/>
                <w:szCs w:val="20"/>
                <w:lang w:eastAsia="en-GB"/>
              </w:rPr>
              <w:br/>
              <w:t xml:space="preserve">PC and printer </w:t>
            </w:r>
            <w:r w:rsidRPr="006026FD">
              <w:rPr>
                <w:rFonts w:ascii="Verdana" w:eastAsia="Times New Roman" w:hAnsi="Verdana" w:cs="Times New Roman"/>
                <w:sz w:val="20"/>
                <w:szCs w:val="20"/>
                <w:lang w:eastAsia="en-GB"/>
              </w:rPr>
              <w:br/>
              <w:t xml:space="preserve">CD-ROM and databases for electronic literature searching </w:t>
            </w:r>
            <w:r w:rsidRPr="006026FD">
              <w:rPr>
                <w:rFonts w:ascii="Verdana" w:eastAsia="Times New Roman" w:hAnsi="Verdana" w:cs="Times New Roman"/>
                <w:sz w:val="20"/>
                <w:szCs w:val="20"/>
                <w:lang w:eastAsia="en-GB"/>
              </w:rPr>
              <w:br/>
              <w:t xml:space="preserve">Course materials </w:t>
            </w:r>
            <w:r w:rsidRPr="006026FD">
              <w:rPr>
                <w:rFonts w:ascii="Verdana" w:eastAsia="Times New Roman" w:hAnsi="Verdana" w:cs="Times New Roman"/>
                <w:sz w:val="20"/>
                <w:szCs w:val="20"/>
                <w:lang w:eastAsia="en-GB"/>
              </w:rPr>
              <w:br/>
              <w:t xml:space="preserve">Blackboard </w:t>
            </w:r>
          </w:p>
        </w:tc>
      </w:tr>
      <w:tr w:rsidR="006026FD" w:rsidRPr="006026FD" w14:paraId="4C5EEAD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52977"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SPECIAL ADMISSIONS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47FFC"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Work in an area where the provision of sexual health is part of the professional role.</w:t>
            </w:r>
          </w:p>
        </w:tc>
      </w:tr>
      <w:tr w:rsidR="006026FD" w:rsidRPr="006026FD" w14:paraId="3A7FCC6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53E75"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LEARNING OUTCOMES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9F959" w14:textId="77777777" w:rsidR="006026FD" w:rsidRPr="006026FD" w:rsidRDefault="006026FD" w:rsidP="006026FD">
            <w:pPr>
              <w:spacing w:before="336" w:after="0" w:line="240" w:lineRule="auto"/>
              <w:rPr>
                <w:rFonts w:ascii="Verdana" w:eastAsia="Times New Roman" w:hAnsi="Verdana" w:cs="Times New Roman"/>
                <w:sz w:val="20"/>
                <w:szCs w:val="20"/>
                <w:lang w:eastAsia="en-GB"/>
              </w:rPr>
            </w:pPr>
            <w:r w:rsidRPr="006026FD">
              <w:rPr>
                <w:rFonts w:ascii="Verdana" w:eastAsia="Times New Roman" w:hAnsi="Verdana" w:cs="Times New Roman"/>
                <w:sz w:val="20"/>
                <w:szCs w:val="20"/>
                <w:lang w:eastAsia="en-GB"/>
              </w:rPr>
              <w:t xml:space="preserve">1. Demonstrate a critical and systematic understanding and knowledge of the epidemiology, diagnosis and management of sexually acquired infections (Knowledge and Understanding)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2. Demonstrate reflexivity with critical argument the achievement of one or more of the ssha competency framework domains through the examination of a scenario to demonstrate how you have adapted your professional practice to further develop your role as a sexual health adviser </w:t>
            </w:r>
            <w:r w:rsidRPr="006026FD">
              <w:rPr>
                <w:rFonts w:ascii="Verdana" w:eastAsia="Times New Roman" w:hAnsi="Verdana" w:cs="Times New Roman"/>
                <w:sz w:val="20"/>
                <w:szCs w:val="20"/>
                <w:lang w:eastAsia="en-GB"/>
              </w:rPr>
              <w:br/>
              <w:t xml:space="preserve">(Application, Knowledge and Understanding, Reflection)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3. Demonstrate a critical awareness and evaluation of current evidence and apply complex decision making in the sexual health advisers role within the public health agenda (Problem Solving, Reflection) </w:t>
            </w:r>
            <w:r w:rsidRPr="006026FD">
              <w:rPr>
                <w:rFonts w:ascii="Verdana" w:eastAsia="Times New Roman" w:hAnsi="Verdana" w:cs="Times New Roman"/>
                <w:sz w:val="20"/>
                <w:szCs w:val="20"/>
                <w:lang w:eastAsia="en-GB"/>
              </w:rPr>
              <w:br/>
            </w:r>
            <w:r w:rsidRPr="006026FD">
              <w:rPr>
                <w:rFonts w:ascii="Verdana" w:eastAsia="Times New Roman" w:hAnsi="Verdana" w:cs="Times New Roman"/>
                <w:sz w:val="20"/>
                <w:szCs w:val="20"/>
                <w:lang w:eastAsia="en-GB"/>
              </w:rPr>
              <w:br/>
              <w:t xml:space="preserve">4. Demonstrate the ability to critically evaluate a complex clinical scenario with reference to your own values and beliefs, identify mechanisms to resolve any barriers to effective communication </w:t>
            </w:r>
            <w:r w:rsidRPr="006026FD">
              <w:rPr>
                <w:rFonts w:ascii="Verdana" w:eastAsia="Times New Roman" w:hAnsi="Verdana" w:cs="Times New Roman"/>
                <w:sz w:val="20"/>
                <w:szCs w:val="20"/>
                <w:lang w:eastAsia="en-GB"/>
              </w:rPr>
              <w:br/>
              <w:t xml:space="preserve">(Communication, Problem Solving) </w:t>
            </w:r>
          </w:p>
        </w:tc>
      </w:tr>
    </w:tbl>
    <w:p w14:paraId="53D296F7" w14:textId="77777777" w:rsidR="006026FD" w:rsidRPr="006026FD" w:rsidRDefault="006026FD" w:rsidP="006026FD">
      <w:pPr>
        <w:spacing w:after="0" w:line="240" w:lineRule="auto"/>
        <w:rPr>
          <w:rFonts w:ascii="Verdana" w:eastAsia="Times New Roman" w:hAnsi="Verdana" w:cs="Times New Roman"/>
          <w:vanish/>
          <w:sz w:val="20"/>
          <w:szCs w:val="20"/>
          <w:lang w:eastAsia="en-GB"/>
        </w:rPr>
      </w:pPr>
    </w:p>
    <w:p w14:paraId="50F65700" w14:textId="77777777" w:rsidR="006026FD" w:rsidRDefault="006026FD"/>
    <w:sectPr w:rsidR="0060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6FD"/>
    <w:rsid w:val="001C1FC6"/>
    <w:rsid w:val="001D661F"/>
    <w:rsid w:val="00406AF8"/>
    <w:rsid w:val="006026FD"/>
    <w:rsid w:val="009D70E4"/>
    <w:rsid w:val="00C00A31"/>
    <w:rsid w:val="00DE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7D63"/>
  <w15:docId w15:val="{532748B0-C8AD-4A21-9CAF-6928E47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026FD"/>
    <w:pPr>
      <w:spacing w:before="100" w:beforeAutospacing="1" w:after="100" w:afterAutospacing="1" w:line="240" w:lineRule="auto"/>
      <w:outlineLvl w:val="1"/>
    </w:pPr>
    <w:rPr>
      <w:rFonts w:ascii="Verdana" w:eastAsia="Times New Roman" w:hAnsi="Verdana"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6FD"/>
    <w:rPr>
      <w:rFonts w:ascii="Verdana" w:eastAsia="Times New Roman" w:hAnsi="Verdana" w:cs="Times New Roman"/>
      <w:b/>
      <w:bCs/>
      <w:sz w:val="36"/>
      <w:szCs w:val="36"/>
      <w:lang w:eastAsia="en-GB"/>
    </w:rPr>
  </w:style>
  <w:style w:type="character" w:styleId="Hyperlink">
    <w:name w:val="Hyperlink"/>
    <w:basedOn w:val="DefaultParagraphFont"/>
    <w:uiPriority w:val="99"/>
    <w:semiHidden/>
    <w:unhideWhenUsed/>
    <w:rsid w:val="006026FD"/>
    <w:rPr>
      <w:color w:val="003377"/>
      <w:u w:val="single"/>
    </w:rPr>
  </w:style>
  <w:style w:type="paragraph" w:styleId="BalloonText">
    <w:name w:val="Balloon Text"/>
    <w:basedOn w:val="Normal"/>
    <w:link w:val="BalloonTextChar"/>
    <w:uiPriority w:val="99"/>
    <w:semiHidden/>
    <w:unhideWhenUsed/>
    <w:rsid w:val="001D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Bannerman@staffs.ac.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BANNERMAN Margaret</dc:creator>
  <cp:lastModifiedBy>IPNA Admin</cp:lastModifiedBy>
  <cp:revision>2</cp:revision>
  <dcterms:created xsi:type="dcterms:W3CDTF">2018-11-16T11:15:00Z</dcterms:created>
  <dcterms:modified xsi:type="dcterms:W3CDTF">2018-11-16T11:15:00Z</dcterms:modified>
</cp:coreProperties>
</file>